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中共北京市朝阳区委社会工作部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>
      <w:pPr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根据我区财政局《关于开展2024年度财政支出绩效自评的通知》，现将区委社会工作部整体绩效评价报告如下：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区委社会工作部负责贯彻落实党中央关于社会工作的方针政策、决策部署，市委以及区委有关工作要求，把坚持党中央的集中统一领导落实到履行职责过程中。主要职责是：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研究社会工作理论、政策和规划，拟订相关制度规定并推动落实。深入调查研究，及时向区委报告工作情况并提出建议。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指导协调各街乡、相关部门开展社会工作。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统筹指导本区群众利益协调、诉求表达、矛盾调处、权益保障等人民信访工作，协调解决人民群众急难愁盼的重大问题。指导人民建议征集工作。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统筹推进本区党建引领基层治理和基层政权建设，协调推进城乡社区治理体系和治理能力建设，推动基层民主政治建设，指导监督基层群众自治制度的有效实施，健全基层群众自治机制。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4、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指导本区社会组织党建工作，统一领导全区性行业协会商会党的工作，协调推动行业协会商会深化改革和转型发展。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5、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指导本区混合所有制企业、非公有制企业和新经济组织、新社会组织、新就业群体党建工作，指导协调相关企业单位、社会组织、就业群体中党员的教育、管理、监督和服务工作，研究完善相关领域群众利益协调机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6、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负责本区志愿服务工作的统筹规划、协调指导、督促检查。指导社会工作人才队伍建设。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bookmarkStart w:id="0" w:name="_GoBack"/>
      <w:bookmarkEnd w:id="0"/>
      <w:r>
        <w:rPr>
          <w:rFonts w:hint="eastAsia" w:ascii="楷体_GB2312" w:eastAsia="楷体_GB2312"/>
          <w:sz w:val="32"/>
          <w:szCs w:val="32"/>
        </w:rPr>
        <w:t>部门整体绩效目标设立情况。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w w:val="90"/>
          <w:sz w:val="32"/>
          <w:szCs w:val="32"/>
          <w:u w:val="single" w:color="FFFFFF" w:themeColor="background1"/>
          <w:lang w:val="en-US" w:eastAsia="zh-CN"/>
        </w:rPr>
        <w:t>根据《北京市朝阳区机构改革实施方案》（朝编办〔2024〕5号文），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加快推进机构改革，于2024年5月成立区委社会工作部，保障日常工作顺利开展，申请固定资产购置费、网络安装费、搬家及设施设备购置等资金项目；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根据《中共北京市朝阳区委社会工作部职能配置、内设机构和人员编制规定》的通知（京朝办字〔2024〕5号）相关要求，开展指导本区混合所有制企业、非公有制企业和新经济组织、新社会组织、新就业群体党建工作，指导协调相关企业单位、社会组织、就业群体中党员的教育、管理、监督和服务工作，研究完善相关领域群众利益协调机制；推进本区党建引领基层治理和基层政权建设，协调推进城乡社区治理体系和治理能力建设，推动基层民主政治建设；本区志愿服务工作的统筹规划、协调指导、督促检查。指导社会工作人才队伍建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严格做好预算配置、预算管理、资产管理、 职责履行、履职效益等内容的绩效考评，提高财政资金的使用率，为财政预算管理提供决策依据。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年全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仿宋" w:eastAsia="仿宋_GB2312"/>
          <w:sz w:val="32"/>
          <w:szCs w:val="32"/>
          <w:highlight w:val="none"/>
          <w:u w:val="none"/>
          <w:lang w:val="en-US" w:eastAsia="zh-CN"/>
        </w:rPr>
        <w:t>1362.18</w:t>
      </w:r>
      <w:r>
        <w:rPr>
          <w:rFonts w:hint="eastAsia" w:ascii="仿宋_GB2312" w:hAnsi="仿宋" w:eastAsia="仿宋_GB2312"/>
          <w:sz w:val="32"/>
          <w:szCs w:val="32"/>
          <w:highlight w:val="none"/>
          <w:u w:val="none"/>
        </w:rPr>
        <w:t>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433.54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928.64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仿宋" w:eastAsia="仿宋_GB2312"/>
          <w:sz w:val="32"/>
          <w:szCs w:val="32"/>
          <w:highlight w:val="none"/>
          <w:u w:val="none"/>
          <w:lang w:val="en-US" w:eastAsia="zh-CN"/>
        </w:rPr>
        <w:t>1362.18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433.54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928.64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100%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pStyle w:val="2"/>
      </w:pP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1.产出数量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2024年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21个项目支出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.产出进度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：项目按计划顺利实施、完成预期产出。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                          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1.经济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效益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：无</w:t>
      </w:r>
    </w:p>
    <w:p>
      <w:pPr>
        <w:widowControl w:val="0"/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2.社会效益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：通过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2024年度各项项目，</w:t>
      </w:r>
      <w:r>
        <w:rPr>
          <w:rFonts w:hint="eastAsia" w:ascii="仿宋_GB2312" w:hAnsi="楷体_GB2312" w:eastAsia="仿宋_GB2312" w:cs="楷体_GB2312"/>
          <w:kern w:val="2"/>
          <w:sz w:val="32"/>
          <w:szCs w:val="32"/>
          <w:lang w:val="en-US" w:eastAsia="zh-CN" w:bidi="ar-SA"/>
        </w:rPr>
        <w:t>推动城乡和社区治理能力和治理水平现代化为目标，通过加强对新行业、志愿队伍、社区治理，并逐渐转化为基层实践成果。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3.环境效益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：无</w:t>
      </w:r>
    </w:p>
    <w:p>
      <w:pPr>
        <w:widowControl w:val="0"/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4.可持续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性影响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eastAsia="仿宋_GB2312"/>
          <w:sz w:val="32"/>
          <w:szCs w:val="32"/>
        </w:rPr>
        <w:t>“以党建引领推进社会治理现代化”的目标定位，聚焦党对社会工作的全面领导，着重在抓统筹协调、抓整体治理、抓共治共享上下功夫，努力推进新时代朝阳社会工作高质量发展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5.服务对象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满意度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：对于服务群体，以多种方式形式：培训、招聘、调研等，满意度均在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90-100%</w:t>
      </w:r>
    </w:p>
    <w:p>
      <w:pPr>
        <w:pStyle w:val="2"/>
      </w:pP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根据《中华人民共和国会计法》、《中华人民共和国预算法》、《中华人民共和国票据法》等法律规定，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中共北京市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朝阳区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委社会工作部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财务管理办法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资金使用合规性和安全性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资金支出符合部门预算批复的用途，项目支出按制度规定执行，支出业务符合国家财经法规和财务管理制度规定，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严格做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到加强项目资金监管，严格执行各项规章制度，做到资金支出合法合规。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3.会计基础信息完善性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（1）数据完整性：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所有业务均需有原始凭证支持（如合同、发票、银行回单）。账簿记录完整覆盖收入、支出、资产、负债等全科目。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（2）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准确性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：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会计科目分类正确。金额、日期、摘要等信息与原始凭证一致，无计算错误。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60" w:afterAutospacing="0"/>
        <w:ind w:left="638" w:leftChars="304" w:right="0" w:firstLine="0" w:firstLineChars="0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（3）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及时性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：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业务发生后需在规定时间内入账。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财务报表（如资产负债表）按期生成，避免滞后影响决策。</w:t>
      </w:r>
    </w:p>
    <w:p>
      <w:pPr>
        <w:numPr>
          <w:ilvl w:val="0"/>
          <w:numId w:val="4"/>
        </w:num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资产管理</w:t>
      </w:r>
      <w:r>
        <w:rPr>
          <w:rFonts w:hint="eastAsia" w:ascii="楷体_GB2312" w:eastAsia="楷体_GB2312"/>
          <w:sz w:val="32"/>
          <w:szCs w:val="32"/>
          <w:lang w:eastAsia="zh-CN"/>
        </w:rPr>
        <w:t>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0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/>
          <w:i w:val="0"/>
          <w:caps w:val="0"/>
          <w:color w:val="000000"/>
          <w:spacing w:val="0"/>
          <w:sz w:val="30"/>
          <w:szCs w:val="30"/>
          <w:shd w:val="clear" w:fill="FFFFFF"/>
        </w:rPr>
        <w:t>制定了内部控制制度，相关资产管理制度合法、合规。资产保存较完整，资产配置基本合理。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0"/>
          <w:szCs w:val="30"/>
          <w:shd w:val="clear" w:fill="FFFFFF"/>
        </w:rPr>
        <w:t>固定资产均得到有效使用，未出现固定资产闲置、浪费的情况。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（三）绩效</w:t>
      </w:r>
      <w:r>
        <w:rPr>
          <w:rFonts w:ascii="楷体_GB2312" w:eastAsia="楷体_GB2312"/>
          <w:sz w:val="32"/>
          <w:szCs w:val="32"/>
        </w:rPr>
        <w:t>管理</w:t>
      </w:r>
      <w:r>
        <w:rPr>
          <w:rFonts w:hint="eastAsia" w:ascii="楷体_GB2312" w:eastAsia="楷体_GB2312"/>
          <w:sz w:val="32"/>
          <w:szCs w:val="32"/>
          <w:lang w:eastAsia="zh-CN"/>
        </w:rPr>
        <w:t>：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0"/>
          <w:szCs w:val="30"/>
          <w:shd w:val="clear" w:fill="FFFFFF"/>
        </w:rPr>
        <w:t>为了加强财政资金管理，提高资金使用效率。通过总结资金使用成效，查找资金管理中存在的问题，积累资金管理的经验，探索财政支出整体绩效评价的办法，逐步形成整体绩效评价的体系和机制，进一步提高财政支出的整体使用管理效益。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</w:rPr>
        <w:t>（四）结转结余率</w:t>
      </w:r>
      <w:r>
        <w:rPr>
          <w:rFonts w:hint="eastAsia" w:ascii="楷体_GB2312" w:eastAsia="楷体_GB2312"/>
          <w:sz w:val="32"/>
          <w:szCs w:val="32"/>
          <w:lang w:eastAsia="zh-CN"/>
        </w:rPr>
        <w:t>：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0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shd w:val="clear" w:color="auto" w:fill="auto"/>
          <w:lang w:eastAsia="zh-CN"/>
        </w:rPr>
        <w:t>注：结转结余率=结转结余总额/支出预算数×100%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  <w:t>）</w:t>
      </w:r>
    </w:p>
    <w:p>
      <w:pPr>
        <w:pStyle w:val="2"/>
        <w:ind w:left="0" w:leftChars="0" w:firstLine="640" w:firstLineChars="20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  <w:lang w:eastAsia="zh-CN"/>
        </w:rPr>
        <w:t>五</w:t>
      </w:r>
      <w:r>
        <w:rPr>
          <w:rFonts w:hint="eastAsia" w:ascii="楷体_GB2312" w:eastAsia="楷体_GB2312"/>
          <w:sz w:val="32"/>
          <w:szCs w:val="32"/>
        </w:rPr>
        <w:t>）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部门预决算差异率：0</w:t>
      </w:r>
    </w:p>
    <w:p/>
    <w:p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720" w:firstLineChars="240"/>
        <w:rPr>
          <w:rFonts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</w:pP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总体评价</w:t>
      </w: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：</w:t>
      </w:r>
      <w:r>
        <w:rPr>
          <w:rFonts w:hint="eastAsia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根据区财政局支出绩效要求，</w:t>
      </w: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对项目进行绩效</w:t>
      </w:r>
      <w:r>
        <w:rPr>
          <w:rFonts w:hint="eastAsia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自评</w:t>
      </w: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，</w:t>
      </w:r>
      <w:r>
        <w:rPr>
          <w:rFonts w:hint="eastAsia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所有</w:t>
      </w: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项目达到预期目标。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720" w:right="0"/>
        <w:rPr>
          <w:rFonts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</w:pP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绩效等级：根据评价结果，项目的绩效等级</w:t>
      </w:r>
      <w:r>
        <w:rPr>
          <w:rFonts w:hint="eastAsia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为优</w:t>
      </w: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2"/>
          <w:sz w:val="30"/>
          <w:szCs w:val="30"/>
          <w:shd w:val="clear" w:fill="FFFFFF"/>
          <w:lang w:val="en-US" w:eastAsia="zh-CN" w:bidi="ar-SA"/>
        </w:rPr>
        <w:t>。</w:t>
      </w:r>
    </w:p>
    <w:p>
      <w:pPr>
        <w:numPr>
          <w:ilvl w:val="0"/>
          <w:numId w:val="5"/>
        </w:num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存在的问题及原因分析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 w:firstLine="600" w:firstLineChars="200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bCs w:val="0"/>
          <w:color w:val="000000"/>
          <w:kern w:val="2"/>
          <w:sz w:val="30"/>
          <w:szCs w:val="30"/>
          <w:lang w:val="en-US" w:eastAsia="zh-CN" w:bidi="ar-SA"/>
        </w:rPr>
        <w:t>优化项目设计，确保项目目标与实际需求相匹配。加强项目后期评估，持续跟踪项目效益。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、措施建议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在项目实施过程中，加强对各类项目资金的管理，需要严格执行三重一大实施细则等各项资金、资产等规章制度，做到用制度管人管事，将廉政风险降到最低，使支出、收入合法合规。</w:t>
      </w:r>
    </w:p>
    <w:p>
      <w:pPr>
        <w:pStyle w:val="2"/>
        <w:numPr>
          <w:ilvl w:val="0"/>
          <w:numId w:val="0"/>
        </w:numPr>
        <w:rPr>
          <w:rFonts w:hint="eastAsia" w:eastAsia="宋体"/>
          <w:lang w:val="en-US" w:eastAsia="zh-CN"/>
        </w:rPr>
      </w:pPr>
    </w:p>
    <w:p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Toman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altName w:val="Vrinda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oto Sans Syriac Eastern">
    <w:altName w:val="宋体"/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6000009F" w:csb1="DFD70000"/>
  </w:font>
  <w:font w:name="Source Han Sans CN Regular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ohit Devanagari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aiTi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Sign">
    <w:altName w:val="Segoe Print"/>
    <w:panose1 w:val="05050102010706020507"/>
    <w:charset w:val="00"/>
    <w:family w:val="auto"/>
    <w:pitch w:val="default"/>
    <w:sig w:usb0="00000000" w:usb1="00000000" w:usb2="00000000" w:usb3="00000000" w:csb0="0000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宋体-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times new rom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文星标宋">
    <w:altName w:val="微软雅黑"/>
    <w:panose1 w:val="02010604000101010101"/>
    <w:charset w:val="00"/>
    <w:family w:val="auto"/>
    <w:pitch w:val="default"/>
    <w:sig w:usb0="00000000" w:usb1="00000000" w:usb2="00000000" w:usb3="00000000" w:csb0="00040001" w:csb1="00000000"/>
  </w:font>
  <w:font w:name="_x000B__x000C_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FangSong_GB2312">
    <w:altName w:val="仿宋_GB2312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FZ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ource Han Sans CN Regular">
    <w:altName w:val="微软雅黑"/>
    <w:panose1 w:val="00000000000000000000"/>
    <w:charset w:val="86"/>
    <w:family w:val="roman"/>
    <w:pitch w:val="default"/>
    <w:sig w:usb0="00000000" w:usb1="00000000" w:usb2="00000016" w:usb3="00000000" w:csb0="60060107" w:csb1="00000000"/>
  </w:font>
  <w:font w:name="汉仪楷体KW">
    <w:altName w:val="楷体_GB2312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altName w:val="黑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Times New Romanc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汉仪楷体简">
    <w:altName w:val="楷体_GB2312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biaoy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JP Bold">
    <w:altName w:val="宋体"/>
    <w:panose1 w:val="020B0800000000000000"/>
    <w:charset w:val="86"/>
    <w:family w:val="auto"/>
    <w:pitch w:val="default"/>
    <w:sig w:usb0="00000000" w:usb1="00000000" w:usb2="00000016" w:usb3="00000000" w:csb0="602E0107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-GB2312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红头文件字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SI仿宋-GB2312">
    <w:altName w:val="仿宋"/>
    <w:panose1 w:val="00000000000000000000"/>
    <w:charset w:val="86"/>
    <w:family w:val="auto"/>
    <w:pitch w:val="default"/>
    <w:sig w:usb0="00000000" w:usb1="00000000" w:usb2="00000010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XBSK--GBK1-0">
    <w:altName w:val="宋体"/>
    <w:panose1 w:val="00000000000000000000"/>
    <w:charset w:val="50"/>
    <w:family w:val="auto"/>
    <w:pitch w:val="default"/>
    <w:sig w:usb0="00000000" w:usb1="00000000" w:usb2="00000010" w:usb3="00000000" w:csb0="00040000" w:csb1="00000000"/>
  </w:font>
  <w:font w:name="FZKTJW--GB1-0">
    <w:altName w:val="微软雅黑"/>
    <w:panose1 w:val="00000000000000000000"/>
    <w:charset w:val="50"/>
    <w:family w:val="auto"/>
    <w:pitch w:val="default"/>
    <w:sig w:usb0="00000000" w:usb1="00000000" w:usb2="00000010" w:usb3="00000000" w:csb0="00040000" w:csb1="00000000"/>
  </w:font>
  <w:font w:name="FZS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HTJW--GB1-0">
    <w:altName w:val="微软雅黑"/>
    <w:panose1 w:val="00000000000000000000"/>
    <w:charset w:val="50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雅士黑 简">
    <w:altName w:val="黑体"/>
    <w:panose1 w:val="02000500000000000000"/>
    <w:charset w:val="86"/>
    <w:family w:val="auto"/>
    <w:pitch w:val="default"/>
    <w:sig w:usb0="00000000" w:usb1="00000000" w:usb2="00000012" w:usb3="00000000" w:csb0="00040001" w:csb1="00000000"/>
  </w:font>
  <w:font w:name="方正魏碑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Liberation Sans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ZDXJW--GB1-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PingFang SC Regular">
    <w:altName w:val="Segoe Print"/>
    <w:panose1 w:val="020B0400000000000000"/>
    <w:charset w:val="00"/>
    <w:family w:val="roma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altName w:val="Aharoni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Droid Sans Fallback">
    <w:altName w:val="宋体"/>
    <w:panose1 w:val="020B0502000000000001"/>
    <w:charset w:val="86"/>
    <w:family w:val="auto"/>
    <w:pitch w:val="default"/>
    <w:sig w:usb0="00000000" w:usb1="00000000" w:usb2="00000036" w:usb3="00000000" w:csb0="203F01FF" w:csb1="D7FF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Noto Sans CJK SC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Noto Sans CJK SC Regular">
    <w:altName w:val="微软雅黑"/>
    <w:panose1 w:val="020B0500000000000000"/>
    <w:charset w:val="00"/>
    <w:family w:val="auto"/>
    <w:pitch w:val="default"/>
    <w:sig w:usb0="00000000" w:usb1="00000000" w:usb2="00000016" w:usb3="00000000" w:csb0="602E0107" w:csb1="00000000"/>
  </w:font>
  <w:font w:name="CESI楷体-GB2312">
    <w:altName w:val="楷体_GB2312"/>
    <w:panose1 w:val="02000500000000000000"/>
    <w:charset w:val="00"/>
    <w:family w:val="auto"/>
    <w:pitch w:val="default"/>
    <w:sig w:usb0="00000000" w:usb1="00000000" w:usb2="00000012" w:usb3="00000000" w:csb0="0004000F" w:csb1="00000000"/>
  </w:font>
  <w:font w:name="CESI黑体-GB2312">
    <w:altName w:val="黑体"/>
    <w:panose1 w:val="02000500000000000000"/>
    <w:charset w:val="00"/>
    <w:family w:val="auto"/>
    <w:pitch w:val="default"/>
    <w:sig w:usb0="00000000" w:usb1="00000000" w:usb2="00000012" w:usb3="00000000" w:csb0="0004000F" w:csb1="00000000"/>
  </w:font>
  <w:font w:name="冬青黑体简体中文">
    <w:altName w:val="黑体"/>
    <w:panose1 w:val="020B0300000000000000"/>
    <w:charset w:val="86"/>
    <w:family w:val="auto"/>
    <w:pitch w:val="default"/>
    <w:sig w:usb0="00000000" w:usb1="00000000" w:usb2="00000016" w:usb3="00000000" w:csb0="00060007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00" w:usb3="00000000" w:csb0="00000000" w:csb1="00000000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FZBY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light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altName w:val="Vrinda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CESI黑体-GB2312">
    <w:altName w:val="微软雅黑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sans-serif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Roman P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Garamond">
    <w:altName w:val="PMingLiU-ExtB"/>
    <w:panose1 w:val="02020404030301010803"/>
    <w:charset w:val="00"/>
    <w:family w:val="roman"/>
    <w:pitch w:val="default"/>
    <w:sig w:usb0="00000000" w:usb1="00000000" w:usb2="00000000" w:usb3="00000000" w:csb0="0000009F" w:csb1="DFD7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宋体-18030">
    <w:altName w:val="微软雅黑"/>
    <w:panose1 w:val="00000000000000000000"/>
    <w:charset w:val="00"/>
    <w:family w:val="modern"/>
    <w:pitch w:val="default"/>
    <w:sig w:usb0="00000000" w:usb1="00000000" w:usb2="000A005E" w:usb3="00000000" w:csb0="0004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___WRD_EMBED_SUB_42">
    <w:altName w:val="宋体"/>
    <w:panose1 w:val="02010600030101010101"/>
    <w:charset w:val="86"/>
    <w:family w:val="modern"/>
    <w:pitch w:val="default"/>
    <w:sig w:usb0="00000000" w:usb1="00000000" w:usb2="00000000" w:usb3="00000000" w:csb0="00000000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HanWangShinSuMedium">
    <w:altName w:val="PMingLiU-ExtB"/>
    <w:panose1 w:val="02020500000000000000"/>
    <w:charset w:val="88"/>
    <w:family w:val="auto"/>
    <w:pitch w:val="default"/>
    <w:sig w:usb0="00000000" w:usb1="00000000" w:usb2="00000016" w:usb3="00000000" w:csb0="00100000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CESI黑体-GB13000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AdobeSongStd-Light">
    <w:altName w:val="宋体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方正韵动粗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Trajan Pro">
    <w:altName w:val="PMingLiU-ExtB"/>
    <w:panose1 w:val="02020502050506020301"/>
    <w:charset w:val="00"/>
    <w:family w:val="roman"/>
    <w:pitch w:val="default"/>
    <w:sig w:usb0="00000000" w:usb1="00000000" w:usb2="00000000" w:usb3="00000000" w:csb0="0000009B" w:csb1="00000000"/>
  </w:font>
  <w:font w:name="Adobe 宋体 Std L">
    <w:altName w:val="宋体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FZF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inherit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|蠃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___WRD_EMBED_SUB_45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光书宋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 New Roman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ongti SC Regular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Menlo Regular">
    <w:altName w:val="Segoe Print"/>
    <w:panose1 w:val="020B0609030804020204"/>
    <w:charset w:val="00"/>
    <w:family w:val="auto"/>
    <w:pitch w:val="default"/>
    <w:sig w:usb0="00000000" w:usb1="00000000" w:usb2="02000028" w:usb3="00000000" w:csb0="600001DF" w:csb1="FFDF0000"/>
  </w:font>
  <w:font w:name="DejaVu Sans Mono">
    <w:altName w:val="Segoe Print"/>
    <w:panose1 w:val="020B0609030804020204"/>
    <w:charset w:val="00"/>
    <w:family w:val="auto"/>
    <w:pitch w:val="default"/>
    <w:sig w:usb0="00000000" w:usb1="00000000" w:usb2="02000028" w:usb3="00000000" w:csb0="600001DF" w:csb1="FFDF0000"/>
  </w:font>
  <w:font w:name="汉仪中等线KW">
    <w:altName w:val="宋体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Noto Sans CJK JP Regular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汉仪小隶书简">
    <w:altName w:val="宋体"/>
    <w:panose1 w:val="02010600000101010101"/>
    <w:charset w:val="80"/>
    <w:family w:val="auto"/>
    <w:pitch w:val="default"/>
    <w:sig w:usb0="00000000" w:usb1="00000000" w:usb2="00000012" w:usb3="00000000" w:csb0="0002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ESI仿宋-GB13000">
    <w:altName w:val="仿宋"/>
    <w:panose1 w:val="02000500000000000000"/>
    <w:charset w:val="00"/>
    <w:family w:val="auto"/>
    <w:pitch w:val="default"/>
    <w:sig w:usb0="00000000" w:usb1="00000000" w:usb2="00000016" w:usb3="00000000" w:csb0="0004000F" w:csb1="00000000"/>
  </w:font>
  <w:font w:name="Songti SC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3182D"/>
    <w:multiLevelType w:val="singleLevel"/>
    <w:tmpl w:val="67A3182D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7A31D67"/>
    <w:multiLevelType w:val="singleLevel"/>
    <w:tmpl w:val="67A31D67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7A9728E"/>
    <w:multiLevelType w:val="singleLevel"/>
    <w:tmpl w:val="67A9728E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67A977D1"/>
    <w:multiLevelType w:val="singleLevel"/>
    <w:tmpl w:val="67A977D1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67A99ECA"/>
    <w:multiLevelType w:val="singleLevel"/>
    <w:tmpl w:val="67A99ECA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39DF"/>
    <w:rsid w:val="001C7834"/>
    <w:rsid w:val="0057202C"/>
    <w:rsid w:val="005E3946"/>
    <w:rsid w:val="00B03B70"/>
    <w:rsid w:val="00CF07EE"/>
    <w:rsid w:val="00E617B2"/>
    <w:rsid w:val="00F42C33"/>
    <w:rsid w:val="0AF62277"/>
    <w:rsid w:val="105B4D81"/>
    <w:rsid w:val="13D45265"/>
    <w:rsid w:val="1A3A7BAD"/>
    <w:rsid w:val="1CFA34F8"/>
    <w:rsid w:val="23C60D0B"/>
    <w:rsid w:val="255D778F"/>
    <w:rsid w:val="25635D99"/>
    <w:rsid w:val="28047E7D"/>
    <w:rsid w:val="2A4F522F"/>
    <w:rsid w:val="2E7D1D86"/>
    <w:rsid w:val="2F321339"/>
    <w:rsid w:val="2F3A0625"/>
    <w:rsid w:val="33C444D4"/>
    <w:rsid w:val="380E7BC2"/>
    <w:rsid w:val="3DFA317F"/>
    <w:rsid w:val="3EB6341C"/>
    <w:rsid w:val="4D4F4747"/>
    <w:rsid w:val="53460FFD"/>
    <w:rsid w:val="5A974529"/>
    <w:rsid w:val="5B1D39DF"/>
    <w:rsid w:val="5E423AFE"/>
    <w:rsid w:val="656F410A"/>
    <w:rsid w:val="69C91FDD"/>
    <w:rsid w:val="6B030015"/>
    <w:rsid w:val="6F1F494E"/>
    <w:rsid w:val="6FC26E21"/>
    <w:rsid w:val="765E4754"/>
    <w:rsid w:val="7F941D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430</Characters>
  <Lines>3</Lines>
  <Paragraphs>1</Paragraphs>
  <ScaleCrop>false</ScaleCrop>
  <LinksUpToDate>false</LinksUpToDate>
  <CharactersWithSpaces>504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lenovo</cp:lastModifiedBy>
  <cp:lastPrinted>2025-02-10T08:31:00Z</cp:lastPrinted>
  <dcterms:modified xsi:type="dcterms:W3CDTF">2025-09-05T02:40:14Z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